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DFAA" w14:textId="4AB296C2" w:rsidR="0085667F" w:rsidRDefault="0085667F" w:rsidP="0085667F">
      <w:pPr>
        <w:rPr>
          <w:rFonts w:ascii="Times New Roman" w:hAnsi="Times New Roman" w:cs="Times New Roman"/>
          <w:sz w:val="14"/>
        </w:rPr>
      </w:pPr>
    </w:p>
    <w:p w14:paraId="404E7B66" w14:textId="77777777" w:rsidR="008C137F" w:rsidRDefault="008C137F" w:rsidP="0085667F">
      <w:pPr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14:paraId="03336C1B" w14:textId="77777777" w:rsidR="00636AE8" w:rsidRPr="004B0C94" w:rsidRDefault="00636AE8" w:rsidP="0085667F">
      <w:pPr>
        <w:rPr>
          <w:rFonts w:ascii="Times New Roman" w:hAnsi="Times New Roman" w:cs="Times New Roman"/>
          <w:sz w:val="2"/>
          <w:szCs w:val="20"/>
        </w:rPr>
      </w:pPr>
    </w:p>
    <w:p w14:paraId="66C6F849" w14:textId="77777777" w:rsidR="00951A51" w:rsidRDefault="00271F94" w:rsidP="00BE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>La</w:t>
      </w:r>
      <w:r w:rsidR="00BE2755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 prescription</w:t>
      </w: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 doit contenir</w:t>
      </w:r>
      <w:r w:rsidR="00BE2755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, </w:t>
      </w:r>
    </w:p>
    <w:p w14:paraId="7A2FF65D" w14:textId="77777777" w:rsidR="00BE2755" w:rsidRDefault="00951A51" w:rsidP="00BE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MS Gothic" w:hAnsi="Times New Roman" w:cs="Times New Roman"/>
          <w:i/>
          <w:sz w:val="20"/>
          <w:szCs w:val="20"/>
        </w:rPr>
        <w:t xml:space="preserve">    </w:t>
      </w:r>
      <w:proofErr w:type="gramStart"/>
      <w:r w:rsidR="00271F94">
        <w:rPr>
          <w:rFonts w:ascii="Times New Roman" w:eastAsia="MS Gothic" w:hAnsi="Times New Roman" w:cs="Times New Roman"/>
          <w:i/>
          <w:sz w:val="20"/>
          <w:szCs w:val="20"/>
          <w:u w:val="single"/>
        </w:rPr>
        <w:t>d</w:t>
      </w:r>
      <w:r w:rsidR="00BE2755">
        <w:rPr>
          <w:rFonts w:ascii="Times New Roman" w:eastAsia="MS Gothic" w:hAnsi="Times New Roman" w:cs="Times New Roman"/>
          <w:i/>
          <w:sz w:val="20"/>
          <w:szCs w:val="20"/>
          <w:u w:val="single"/>
        </w:rPr>
        <w:t>es</w:t>
      </w:r>
      <w:proofErr w:type="gramEnd"/>
      <w:r w:rsidR="00BE2755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 examens de </w:t>
      </w:r>
      <w:r w:rsidR="00953461">
        <w:rPr>
          <w:rFonts w:ascii="Times New Roman" w:eastAsia="MS Gothic" w:hAnsi="Times New Roman" w:cs="Times New Roman"/>
          <w:i/>
          <w:sz w:val="20"/>
          <w:szCs w:val="20"/>
          <w:u w:val="single"/>
        </w:rPr>
        <w:t>base</w:t>
      </w:r>
      <w:r w:rsidR="00BE2755">
        <w:rPr>
          <w:rFonts w:ascii="Times New Roman" w:eastAsia="MS Gothic" w:hAnsi="Times New Roman" w:cs="Times New Roman"/>
          <w:i/>
          <w:sz w:val="20"/>
          <w:szCs w:val="20"/>
          <w:u w:val="single"/>
        </w:rPr>
        <w:t> :</w:t>
      </w:r>
    </w:p>
    <w:p w14:paraId="1D0B4992" w14:textId="77777777" w:rsidR="00BE2755" w:rsidRDefault="00BE2755" w:rsidP="00BE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eastAsia="MS Gothic" w:hAnsi="Times New Roman" w:cs="Times New Roman"/>
          <w:sz w:val="20"/>
          <w:szCs w:val="20"/>
        </w:rPr>
      </w:pPr>
      <w:r w:rsidRPr="00BE2755">
        <w:rPr>
          <w:rFonts w:ascii="Times New Roman" w:eastAsia="MS Gothic" w:hAnsi="Times New Roman" w:cs="Times New Roman"/>
          <w:sz w:val="20"/>
          <w:szCs w:val="20"/>
        </w:rPr>
        <w:t>-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BE2755">
        <w:rPr>
          <w:rFonts w:ascii="Times New Roman" w:eastAsia="MS Gothic" w:hAnsi="Times New Roman" w:cs="Times New Roman"/>
          <w:sz w:val="20"/>
          <w:szCs w:val="20"/>
        </w:rPr>
        <w:t>Numération plaquettaire</w:t>
      </w:r>
    </w:p>
    <w:p w14:paraId="1D43ED95" w14:textId="474B8785" w:rsidR="00953461" w:rsidRDefault="00BE2755" w:rsidP="0095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- Taux de prothrombine (TP)</w:t>
      </w:r>
      <w:r w:rsidR="003B1DA8">
        <w:rPr>
          <w:rFonts w:ascii="Times New Roman" w:eastAsia="MS Gothic" w:hAnsi="Times New Roman" w:cs="Times New Roman"/>
          <w:sz w:val="20"/>
          <w:szCs w:val="20"/>
        </w:rPr>
        <w:t xml:space="preserve">, </w:t>
      </w:r>
      <w:r>
        <w:rPr>
          <w:rFonts w:ascii="Times New Roman" w:eastAsia="MS Gothic" w:hAnsi="Times New Roman" w:cs="Times New Roman"/>
          <w:sz w:val="20"/>
          <w:szCs w:val="20"/>
        </w:rPr>
        <w:t>Temps de céphaline activée en kaolin (TCK)</w:t>
      </w:r>
      <w:r w:rsidR="003B1DA8">
        <w:rPr>
          <w:rFonts w:ascii="Times New Roman" w:eastAsia="MS Gothic" w:hAnsi="Times New Roman" w:cs="Times New Roman"/>
          <w:sz w:val="20"/>
          <w:szCs w:val="20"/>
        </w:rPr>
        <w:t>,</w:t>
      </w:r>
      <w:r w:rsidR="00953461">
        <w:rPr>
          <w:rFonts w:ascii="Times New Roman" w:eastAsia="MS Gothic" w:hAnsi="Times New Roman" w:cs="Times New Roman"/>
          <w:sz w:val="20"/>
          <w:szCs w:val="20"/>
        </w:rPr>
        <w:t xml:space="preserve"> Fibrinogène</w:t>
      </w:r>
    </w:p>
    <w:p w14:paraId="51FE227A" w14:textId="77777777" w:rsidR="00951A51" w:rsidRDefault="00951A51" w:rsidP="0095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</w:p>
    <w:p w14:paraId="1D7D88C0" w14:textId="77777777" w:rsidR="00951A51" w:rsidRDefault="00951A51" w:rsidP="0095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proofErr w:type="gramStart"/>
      <w:r w:rsidR="00271F94">
        <w:rPr>
          <w:rFonts w:ascii="Times New Roman" w:eastAsia="MS Gothic" w:hAnsi="Times New Roman" w:cs="Times New Roman"/>
          <w:i/>
          <w:sz w:val="20"/>
          <w:szCs w:val="20"/>
          <w:u w:val="single"/>
        </w:rPr>
        <w:t>d</w:t>
      </w: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>es</w:t>
      </w:r>
      <w:proofErr w:type="gramEnd"/>
      <w:r w:rsidRPr="00951A51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 renseign</w:t>
      </w: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>e</w:t>
      </w:r>
      <w:r w:rsidRPr="00951A51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ments </w:t>
      </w:r>
      <w:r w:rsidRPr="00B90EBB">
        <w:rPr>
          <w:rFonts w:ascii="Times New Roman" w:eastAsia="MS Gothic" w:hAnsi="Times New Roman" w:cs="Times New Roman"/>
          <w:b/>
          <w:i/>
          <w:sz w:val="20"/>
          <w:szCs w:val="20"/>
          <w:u w:val="single"/>
        </w:rPr>
        <w:t>indispensables</w:t>
      </w:r>
      <w:r w:rsidR="00FB44EF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 pour le laboratoire</w:t>
      </w:r>
      <w:r w:rsidRPr="00951A51">
        <w:rPr>
          <w:rFonts w:ascii="Times New Roman" w:eastAsia="MS Gothic" w:hAnsi="Times New Roman" w:cs="Times New Roman"/>
          <w:i/>
          <w:sz w:val="20"/>
          <w:szCs w:val="20"/>
          <w:u w:val="single"/>
        </w:rPr>
        <w:t> :</w:t>
      </w:r>
    </w:p>
    <w:p w14:paraId="73F3ECD6" w14:textId="77777777" w:rsidR="00951A51" w:rsidRDefault="00951A5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 w:rsidRPr="00951A51"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 xml:space="preserve">- </w:t>
      </w:r>
      <w:r w:rsidR="00953461" w:rsidRPr="00953461">
        <w:rPr>
          <w:rFonts w:ascii="Times New Roman" w:eastAsia="MS Gothic" w:hAnsi="Times New Roman" w:cs="Times New Roman"/>
          <w:sz w:val="20"/>
          <w:szCs w:val="20"/>
        </w:rPr>
        <w:t>Contexte hémorragique du patient :</w:t>
      </w:r>
      <w:r w:rsidR="00953461">
        <w:rPr>
          <w:rFonts w:ascii="Times New Roman" w:eastAsia="MS Gothic" w:hAnsi="Times New Roman" w:cs="Times New Roman"/>
          <w:sz w:val="20"/>
          <w:szCs w:val="20"/>
        </w:rPr>
        <w:t xml:space="preserve"> signes hémorragiques, a</w:t>
      </w:r>
      <w:r w:rsidR="00953461" w:rsidRPr="00953461">
        <w:rPr>
          <w:rFonts w:ascii="Times New Roman" w:eastAsia="MS Gothic" w:hAnsi="Times New Roman" w:cs="Times New Roman"/>
          <w:sz w:val="20"/>
          <w:szCs w:val="20"/>
        </w:rPr>
        <w:t xml:space="preserve">ntécédents personnels </w:t>
      </w:r>
      <w:r w:rsidR="00953461">
        <w:rPr>
          <w:rFonts w:ascii="Times New Roman" w:eastAsia="MS Gothic" w:hAnsi="Times New Roman" w:cs="Times New Roman"/>
          <w:sz w:val="20"/>
          <w:szCs w:val="20"/>
        </w:rPr>
        <w:t xml:space="preserve">et </w:t>
      </w:r>
      <w:r w:rsidR="00953461" w:rsidRPr="00953461">
        <w:rPr>
          <w:rFonts w:ascii="Times New Roman" w:eastAsia="MS Gothic" w:hAnsi="Times New Roman" w:cs="Times New Roman"/>
          <w:sz w:val="20"/>
          <w:szCs w:val="20"/>
        </w:rPr>
        <w:t>familiaux</w:t>
      </w:r>
    </w:p>
    <w:p w14:paraId="6FD1CBB2" w14:textId="77777777" w:rsidR="00587CCC" w:rsidRP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eastAsia="MS Gothic" w:hAnsi="Times New Roman" w:cs="Times New Roman"/>
          <w:sz w:val="16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 xml:space="preserve">- Le groupe sanguin du patient </w:t>
      </w:r>
      <w:r w:rsidRPr="00587CCC">
        <w:rPr>
          <w:rFonts w:ascii="Times New Roman" w:eastAsia="MS Gothic" w:hAnsi="Times New Roman" w:cs="Times New Roman"/>
          <w:sz w:val="16"/>
          <w:szCs w:val="20"/>
        </w:rPr>
        <w:t xml:space="preserve">(taux de facteur </w:t>
      </w:r>
      <w:proofErr w:type="spellStart"/>
      <w:r w:rsidRPr="00587CCC">
        <w:rPr>
          <w:rFonts w:ascii="Times New Roman" w:eastAsia="MS Gothic" w:hAnsi="Times New Roman" w:cs="Times New Roman"/>
          <w:sz w:val="16"/>
          <w:szCs w:val="20"/>
        </w:rPr>
        <w:t>Willebrand</w:t>
      </w:r>
      <w:proofErr w:type="spellEnd"/>
      <w:r w:rsidRPr="00587CCC">
        <w:rPr>
          <w:rFonts w:ascii="Times New Roman" w:eastAsia="MS Gothic" w:hAnsi="Times New Roman" w:cs="Times New Roman"/>
          <w:sz w:val="16"/>
          <w:szCs w:val="20"/>
        </w:rPr>
        <w:t xml:space="preserve"> physiologiquement plus bas chez les patients de groupe O)</w:t>
      </w:r>
    </w:p>
    <w:p w14:paraId="5E80528A" w14:textId="77777777" w:rsidR="00951A51" w:rsidRDefault="00951A51" w:rsidP="0095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16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>- Le traitement anticoagulant éventuel</w:t>
      </w:r>
      <w:r w:rsidR="00587CCC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587CCC" w:rsidRPr="00587CCC">
        <w:rPr>
          <w:rFonts w:ascii="Times New Roman" w:eastAsia="MS Gothic" w:hAnsi="Times New Roman" w:cs="Times New Roman"/>
          <w:sz w:val="16"/>
          <w:szCs w:val="20"/>
        </w:rPr>
        <w:t>(influence éventuelle sur les dosages)</w:t>
      </w:r>
    </w:p>
    <w:p w14:paraId="7BEB611B" w14:textId="09F29AFD" w:rsidR="00271F94" w:rsidRPr="00271F94" w:rsidRDefault="00271F94" w:rsidP="0095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Cs w:val="20"/>
        </w:rPr>
      </w:pPr>
      <w:r w:rsidRPr="00271F94">
        <w:rPr>
          <w:rFonts w:ascii="Times New Roman" w:eastAsia="MS Gothic" w:hAnsi="Times New Roman" w:cs="Times New Roman"/>
          <w:sz w:val="20"/>
          <w:szCs w:val="20"/>
        </w:rPr>
        <w:tab/>
        <w:t>- En cas de traitement de substitution d’un déficit en facteur : le nom de la molécule injectée et l’heure de l’injection</w:t>
      </w:r>
      <w:r w:rsidR="00301C87">
        <w:rPr>
          <w:rFonts w:ascii="Times New Roman" w:eastAsia="MS Gothic" w:hAnsi="Times New Roman" w:cs="Times New Roman"/>
          <w:sz w:val="20"/>
          <w:szCs w:val="20"/>
        </w:rPr>
        <w:t xml:space="preserve"> ou le temps du protocole correspondant</w:t>
      </w:r>
    </w:p>
    <w:p w14:paraId="0FF93502" w14:textId="77777777" w:rsidR="00B260C3" w:rsidRDefault="00B260C3" w:rsidP="0097609D">
      <w:pPr>
        <w:rPr>
          <w:rFonts w:ascii="Times New Roman" w:hAnsi="Times New Roman" w:cs="Times New Roman"/>
          <w:sz w:val="12"/>
          <w:szCs w:val="20"/>
        </w:rPr>
      </w:pPr>
    </w:p>
    <w:p w14:paraId="66734C4A" w14:textId="77777777" w:rsidR="00BE2755" w:rsidRDefault="00BE2755" w:rsidP="0097609D">
      <w:pPr>
        <w:rPr>
          <w:rFonts w:ascii="Times New Roman" w:hAnsi="Times New Roman" w:cs="Times New Roman"/>
          <w:sz w:val="12"/>
          <w:szCs w:val="20"/>
        </w:rPr>
      </w:pPr>
    </w:p>
    <w:p w14:paraId="7042A66B" w14:textId="77777777" w:rsidR="00953461" w:rsidRDefault="00953461" w:rsidP="001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 w:rsidRPr="00953461">
        <w:rPr>
          <w:rFonts w:ascii="Times New Roman" w:eastAsia="MS Gothic" w:hAnsi="Times New Roman" w:cs="Times New Roman"/>
          <w:i/>
          <w:sz w:val="20"/>
          <w:szCs w:val="20"/>
          <w:u w:val="single"/>
        </w:rPr>
        <w:t>EN CAS DE SUSPICION D’HEMOPHILIE CONGENITALE</w:t>
      </w:r>
    </w:p>
    <w:p w14:paraId="47F75A85" w14:textId="6B39D8EC" w:rsidR="00951A51" w:rsidRPr="00953461" w:rsidRDefault="00953461" w:rsidP="0017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t>Syndrome hémorrag</w:t>
      </w:r>
      <w:r w:rsidR="00587CCC">
        <w:rPr>
          <w:rFonts w:ascii="Times New Roman" w:eastAsia="MS Gothic" w:hAnsi="Times New Roman" w:cs="Times New Roman"/>
          <w:sz w:val="20"/>
          <w:szCs w:val="20"/>
        </w:rPr>
        <w:t xml:space="preserve">ique </w:t>
      </w:r>
      <w:r w:rsidR="003079E7" w:rsidRPr="003079E7">
        <w:rPr>
          <w:rFonts w:ascii="Times New Roman" w:eastAsia="MS Gothic" w:hAnsi="Times New Roman" w:cs="Times New Roman"/>
          <w:sz w:val="20"/>
          <w:szCs w:val="20"/>
        </w:rPr>
        <w:t>essentiellement musculaire</w:t>
      </w:r>
      <w:r w:rsidR="003079E7">
        <w:rPr>
          <w:rFonts w:ascii="Times New Roman" w:eastAsia="MS Gothic" w:hAnsi="Times New Roman" w:cs="Times New Roman"/>
          <w:sz w:val="20"/>
          <w:szCs w:val="20"/>
        </w:rPr>
        <w:t>s (</w:t>
      </w:r>
      <w:r w:rsidR="003079E7" w:rsidRPr="003079E7">
        <w:rPr>
          <w:rFonts w:ascii="Times New Roman" w:eastAsia="MS Gothic" w:hAnsi="Times New Roman" w:cs="Times New Roman"/>
          <w:sz w:val="20"/>
          <w:szCs w:val="20"/>
        </w:rPr>
        <w:t>hématomes sous-cutanés</w:t>
      </w:r>
      <w:r w:rsidR="003079E7">
        <w:rPr>
          <w:rFonts w:ascii="Times New Roman" w:eastAsia="MS Gothic" w:hAnsi="Times New Roman" w:cs="Times New Roman"/>
          <w:sz w:val="20"/>
          <w:szCs w:val="20"/>
        </w:rPr>
        <w:t>) et articulaires (hémarthroses</w:t>
      </w:r>
      <w:r w:rsidR="003079E7" w:rsidRPr="003079E7">
        <w:rPr>
          <w:rFonts w:ascii="Times New Roman" w:eastAsia="MS Gothic" w:hAnsi="Times New Roman" w:cs="Times New Roman"/>
          <w:sz w:val="20"/>
          <w:szCs w:val="20"/>
        </w:rPr>
        <w:t>) mais aussi des hématuries et de rares hémorragies du SNC.</w:t>
      </w:r>
    </w:p>
    <w:p w14:paraId="77587FB2" w14:textId="77777777" w:rsid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</w:p>
    <w:p w14:paraId="1927D8A3" w14:textId="77777777" w:rsid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>
        <w:rPr>
          <w:rFonts w:ascii="Times New Roman" w:eastAsia="MS Gothic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>Les examens à demander en plus des examens de base de base sont :</w:t>
      </w:r>
    </w:p>
    <w:p w14:paraId="4D5E0D63" w14:textId="616A4945" w:rsidR="00953461" w:rsidRP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 xml:space="preserve">- Facteur VIII </w:t>
      </w:r>
      <w:r w:rsidR="00873D48">
        <w:rPr>
          <w:rFonts w:ascii="Times New Roman" w:eastAsia="MS Gothic" w:hAnsi="Times New Roman" w:cs="Times New Roman"/>
          <w:sz w:val="20"/>
          <w:szCs w:val="20"/>
        </w:rPr>
        <w:t>et/</w:t>
      </w:r>
      <w:r>
        <w:rPr>
          <w:rFonts w:ascii="Times New Roman" w:eastAsia="MS Gothic" w:hAnsi="Times New Roman" w:cs="Times New Roman"/>
          <w:sz w:val="20"/>
          <w:szCs w:val="20"/>
        </w:rPr>
        <w:t xml:space="preserve">ou </w:t>
      </w:r>
      <w:r w:rsidR="00873D48">
        <w:rPr>
          <w:rFonts w:ascii="Times New Roman" w:eastAsia="MS Gothic" w:hAnsi="Times New Roman" w:cs="Times New Roman"/>
          <w:sz w:val="20"/>
          <w:szCs w:val="20"/>
        </w:rPr>
        <w:t xml:space="preserve">facteur </w:t>
      </w:r>
      <w:r>
        <w:rPr>
          <w:rFonts w:ascii="Times New Roman" w:eastAsia="MS Gothic" w:hAnsi="Times New Roman" w:cs="Times New Roman"/>
          <w:sz w:val="20"/>
          <w:szCs w:val="20"/>
        </w:rPr>
        <w:t>IX</w:t>
      </w:r>
    </w:p>
    <w:p w14:paraId="2C3462A9" w14:textId="77777777" w:rsidR="00951A51" w:rsidRDefault="00951A5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</w:p>
    <w:p w14:paraId="70B9C31C" w14:textId="3FACF32B" w:rsidR="00951A5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t xml:space="preserve">      </w:t>
      </w:r>
      <w:r w:rsidR="00951A51">
        <w:rPr>
          <w:rFonts w:ascii="Times New Roman" w:eastAsia="MS Gothic" w:hAnsi="Times New Roman" w:cs="Times New Roman"/>
          <w:i/>
          <w:sz w:val="20"/>
          <w:szCs w:val="20"/>
          <w:u w:val="single"/>
        </w:rPr>
        <w:t>Démarche du laboratoire en cas de résultat patho</w:t>
      </w:r>
      <w:r w:rsidR="00873D48">
        <w:rPr>
          <w:rFonts w:ascii="Times New Roman" w:eastAsia="MS Gothic" w:hAnsi="Times New Roman" w:cs="Times New Roman"/>
          <w:i/>
          <w:sz w:val="20"/>
          <w:szCs w:val="20"/>
          <w:u w:val="single"/>
        </w:rPr>
        <w:t>logique chez un patient inconnu</w:t>
      </w:r>
      <w:r w:rsidR="00951A51">
        <w:rPr>
          <w:rFonts w:ascii="Times New Roman" w:eastAsia="MS Gothic" w:hAnsi="Times New Roman" w:cs="Times New Roman"/>
          <w:i/>
          <w:sz w:val="20"/>
          <w:szCs w:val="20"/>
          <w:u w:val="single"/>
        </w:rPr>
        <w:t xml:space="preserve"> :</w:t>
      </w:r>
    </w:p>
    <w:p w14:paraId="217F0195" w14:textId="77777777" w:rsidR="00587CCC" w:rsidRDefault="00587CCC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</w:p>
    <w:p w14:paraId="206C8713" w14:textId="77777777" w:rsidR="00953461" w:rsidRDefault="00951A5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 w:rsidRPr="00951A51"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 xml:space="preserve">- En cas de </w:t>
      </w:r>
      <w:r w:rsidR="00953461">
        <w:rPr>
          <w:rFonts w:ascii="Times New Roman" w:eastAsia="MS Gothic" w:hAnsi="Times New Roman" w:cs="Times New Roman"/>
          <w:sz w:val="20"/>
          <w:szCs w:val="20"/>
        </w:rPr>
        <w:t>facteur VIII diminué (&lt; 4</w:t>
      </w:r>
      <w:r>
        <w:rPr>
          <w:rFonts w:ascii="Times New Roman" w:eastAsia="MS Gothic" w:hAnsi="Times New Roman" w:cs="Times New Roman"/>
          <w:sz w:val="20"/>
          <w:szCs w:val="20"/>
        </w:rPr>
        <w:t>0%)</w:t>
      </w:r>
      <w:r w:rsidR="00953461">
        <w:rPr>
          <w:rFonts w:ascii="Times New Roman" w:eastAsia="MS Gothic" w:hAnsi="Times New Roman" w:cs="Times New Roman"/>
          <w:sz w:val="20"/>
          <w:szCs w:val="20"/>
        </w:rPr>
        <w:t> :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rajout </w:t>
      </w:r>
    </w:p>
    <w:p w14:paraId="137F2006" w14:textId="050E5C78" w:rsidR="00873D48" w:rsidRDefault="00953461" w:rsidP="0087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color w:val="FF0000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sym w:font="Wingdings" w:char="F0E0"/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proofErr w:type="gramStart"/>
      <w:r w:rsidRPr="00953461">
        <w:rPr>
          <w:rFonts w:ascii="Times New Roman" w:eastAsia="MS Gothic" w:hAnsi="Times New Roman" w:cs="Times New Roman"/>
          <w:sz w:val="20"/>
          <w:szCs w:val="20"/>
        </w:rPr>
        <w:t>de</w:t>
      </w:r>
      <w:proofErr w:type="gramEnd"/>
      <w:r w:rsidRPr="00953461">
        <w:rPr>
          <w:rFonts w:ascii="Times New Roman" w:eastAsia="MS Gothic" w:hAnsi="Times New Roman" w:cs="Times New Roman"/>
          <w:sz w:val="20"/>
          <w:szCs w:val="20"/>
        </w:rPr>
        <w:t xml:space="preserve"> l’étude</w:t>
      </w:r>
      <w:r w:rsidR="00873D48">
        <w:rPr>
          <w:rFonts w:ascii="Times New Roman" w:eastAsia="MS Gothic" w:hAnsi="Times New Roman" w:cs="Times New Roman"/>
          <w:sz w:val="20"/>
          <w:szCs w:val="20"/>
        </w:rPr>
        <w:t xml:space="preserve"> du facteur </w:t>
      </w:r>
      <w:proofErr w:type="spellStart"/>
      <w:r w:rsidR="00873D48">
        <w:rPr>
          <w:rFonts w:ascii="Times New Roman" w:eastAsia="MS Gothic" w:hAnsi="Times New Roman" w:cs="Times New Roman"/>
          <w:sz w:val="20"/>
          <w:szCs w:val="20"/>
        </w:rPr>
        <w:t>Willebrand</w:t>
      </w:r>
      <w:proofErr w:type="spellEnd"/>
      <w:r w:rsidR="00873D48">
        <w:rPr>
          <w:rFonts w:ascii="Times New Roman" w:eastAsia="MS Gothic" w:hAnsi="Times New Roman" w:cs="Times New Roman"/>
          <w:sz w:val="20"/>
          <w:szCs w:val="20"/>
        </w:rPr>
        <w:t xml:space="preserve"> (antigène et activité) et </w:t>
      </w:r>
      <w:r w:rsidRPr="00953461">
        <w:rPr>
          <w:rFonts w:ascii="Times New Roman" w:eastAsia="MS Gothic" w:hAnsi="Times New Roman" w:cs="Times New Roman"/>
          <w:sz w:val="20"/>
          <w:szCs w:val="20"/>
        </w:rPr>
        <w:t xml:space="preserve">de la liaison du facteur VIII au facteur </w:t>
      </w:r>
      <w:proofErr w:type="spellStart"/>
      <w:r w:rsidRPr="00953461">
        <w:rPr>
          <w:rFonts w:ascii="Times New Roman" w:eastAsia="MS Gothic" w:hAnsi="Times New Roman" w:cs="Times New Roman"/>
          <w:sz w:val="20"/>
          <w:szCs w:val="20"/>
        </w:rPr>
        <w:t>Willebrand</w:t>
      </w:r>
      <w:proofErr w:type="spellEnd"/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587CCC">
        <w:rPr>
          <w:rFonts w:ascii="Times New Roman" w:eastAsia="MS Gothic" w:hAnsi="Times New Roman" w:cs="Times New Roman"/>
          <w:sz w:val="16"/>
          <w:szCs w:val="20"/>
        </w:rPr>
        <w:t>(</w:t>
      </w:r>
      <w:proofErr w:type="spellStart"/>
      <w:r w:rsidRPr="00587CCC">
        <w:rPr>
          <w:rFonts w:ascii="Times New Roman" w:eastAsia="MS Gothic" w:hAnsi="Times New Roman" w:cs="Times New Roman"/>
          <w:sz w:val="16"/>
          <w:szCs w:val="20"/>
        </w:rPr>
        <w:t>Willebrand</w:t>
      </w:r>
      <w:proofErr w:type="spellEnd"/>
      <w:r w:rsidRPr="00587CCC">
        <w:rPr>
          <w:rFonts w:ascii="Times New Roman" w:eastAsia="MS Gothic" w:hAnsi="Times New Roman" w:cs="Times New Roman"/>
          <w:sz w:val="16"/>
          <w:szCs w:val="20"/>
        </w:rPr>
        <w:t xml:space="preserve"> type 2N)</w:t>
      </w:r>
      <w:r w:rsidR="00271F94">
        <w:rPr>
          <w:rFonts w:ascii="Times New Roman" w:eastAsia="MS Gothic" w:hAnsi="Times New Roman" w:cs="Times New Roman"/>
          <w:sz w:val="16"/>
          <w:szCs w:val="20"/>
        </w:rPr>
        <w:t xml:space="preserve"> </w:t>
      </w:r>
      <w:r w:rsidR="00271F94" w:rsidRPr="00271F94">
        <w:rPr>
          <w:rFonts w:ascii="Times New Roman" w:eastAsia="MS Gothic" w:hAnsi="Times New Roman" w:cs="Times New Roman"/>
          <w:color w:val="FF0000"/>
          <w:sz w:val="20"/>
          <w:szCs w:val="20"/>
        </w:rPr>
        <w:t>si taux de FVIII &gt; 5%</w:t>
      </w:r>
    </w:p>
    <w:p w14:paraId="686A4F08" w14:textId="7972CAAA" w:rsidR="00873D48" w:rsidRPr="00873D48" w:rsidRDefault="00873D48" w:rsidP="0087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color w:val="FF0000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sym w:font="Wingdings" w:char="F0E0"/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MS Gothic" w:hAnsi="Times New Roman" w:cs="Times New Roman"/>
          <w:sz w:val="20"/>
          <w:szCs w:val="20"/>
        </w:rPr>
        <w:t>du</w:t>
      </w:r>
      <w:proofErr w:type="gramEnd"/>
      <w:r>
        <w:rPr>
          <w:rFonts w:ascii="Times New Roman" w:eastAsia="MS Gothic" w:hAnsi="Times New Roman" w:cs="Times New Roman"/>
          <w:sz w:val="20"/>
          <w:szCs w:val="20"/>
        </w:rPr>
        <w:t xml:space="preserve"> facteur V </w:t>
      </w:r>
      <w:r w:rsidRPr="00587CCC">
        <w:rPr>
          <w:rFonts w:ascii="Times New Roman" w:eastAsia="MS Gothic" w:hAnsi="Times New Roman" w:cs="Times New Roman"/>
          <w:sz w:val="16"/>
          <w:szCs w:val="20"/>
        </w:rPr>
        <w:t>(existence</w:t>
      </w:r>
      <w:r>
        <w:rPr>
          <w:rFonts w:ascii="Times New Roman" w:eastAsia="MS Gothic" w:hAnsi="Times New Roman" w:cs="Times New Roman"/>
          <w:sz w:val="16"/>
          <w:szCs w:val="20"/>
        </w:rPr>
        <w:t xml:space="preserve"> de déficit combiné)</w:t>
      </w:r>
    </w:p>
    <w:p w14:paraId="4DF68049" w14:textId="5F6C8A57" w:rsidR="004B3D64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color w:val="FF0000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sym w:font="Wingdings" w:char="F0E0"/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MS Gothic" w:hAnsi="Times New Roman" w:cs="Times New Roman"/>
          <w:sz w:val="20"/>
          <w:szCs w:val="20"/>
        </w:rPr>
        <w:t>de</w:t>
      </w:r>
      <w:proofErr w:type="gramEnd"/>
      <w:r>
        <w:rPr>
          <w:rFonts w:ascii="Times New Roman" w:eastAsia="MS Gothic" w:hAnsi="Times New Roman" w:cs="Times New Roman"/>
          <w:sz w:val="20"/>
          <w:szCs w:val="20"/>
        </w:rPr>
        <w:t xml:space="preserve"> la recherche d’anticorps anti-facteur VIII </w:t>
      </w:r>
      <w:r w:rsidRPr="00587CCC">
        <w:rPr>
          <w:rFonts w:ascii="Times New Roman" w:eastAsia="MS Gothic" w:hAnsi="Times New Roman" w:cs="Times New Roman"/>
          <w:sz w:val="16"/>
          <w:szCs w:val="20"/>
        </w:rPr>
        <w:t>(hémophilie A acquise)</w:t>
      </w:r>
      <w:r w:rsidR="00271F94">
        <w:rPr>
          <w:rFonts w:ascii="Times New Roman" w:eastAsia="MS Gothic" w:hAnsi="Times New Roman" w:cs="Times New Roman"/>
          <w:sz w:val="16"/>
          <w:szCs w:val="20"/>
        </w:rPr>
        <w:t xml:space="preserve"> </w:t>
      </w:r>
      <w:r w:rsidR="00271F94" w:rsidRPr="00271F94">
        <w:rPr>
          <w:rFonts w:ascii="Times New Roman" w:eastAsia="MS Gothic" w:hAnsi="Times New Roman" w:cs="Times New Roman"/>
          <w:color w:val="FF0000"/>
          <w:sz w:val="20"/>
          <w:szCs w:val="20"/>
        </w:rPr>
        <w:t>selon le contexte</w:t>
      </w:r>
      <w:r w:rsidR="00271F94">
        <w:rPr>
          <w:rFonts w:ascii="Times New Roman" w:eastAsia="MS Gothic" w:hAnsi="Times New Roman" w:cs="Times New Roman"/>
          <w:color w:val="FF0000"/>
          <w:sz w:val="20"/>
          <w:szCs w:val="20"/>
        </w:rPr>
        <w:t xml:space="preserve"> clinique</w:t>
      </w:r>
      <w:r w:rsidR="004B3D64">
        <w:rPr>
          <w:rFonts w:ascii="Times New Roman" w:eastAsia="MS Gothic" w:hAnsi="Times New Roman" w:cs="Times New Roman"/>
          <w:color w:val="FF0000"/>
          <w:sz w:val="20"/>
          <w:szCs w:val="20"/>
        </w:rPr>
        <w:t xml:space="preserve"> </w:t>
      </w:r>
      <w:r w:rsidR="004B3D64" w:rsidRPr="004B3D64">
        <w:rPr>
          <w:rFonts w:ascii="Times New Roman" w:eastAsia="MS Gothic" w:hAnsi="Times New Roman" w:cs="Times New Roman"/>
          <w:color w:val="548DD4" w:themeColor="text2" w:themeTint="99"/>
          <w:sz w:val="20"/>
          <w:szCs w:val="20"/>
        </w:rPr>
        <w:t>*</w:t>
      </w:r>
    </w:p>
    <w:p w14:paraId="2EE2104B" w14:textId="02382674" w:rsidR="004B3D64" w:rsidRPr="004B3D64" w:rsidRDefault="004B3D64" w:rsidP="004B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</w:pPr>
      <w:r w:rsidRPr="004B3D64"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  <w:t xml:space="preserve">* : - patients sans notion de troubles de l’hémostase antérieurs et </w:t>
      </w:r>
      <w:r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  <w:t xml:space="preserve">porteurs de </w:t>
      </w:r>
      <w:r w:rsidRPr="004B3D64"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  <w:t xml:space="preserve">pathologies </w:t>
      </w:r>
      <w:r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  <w:t>pourvoyeuses d’auto-anticorps</w:t>
      </w:r>
      <w:r w:rsidRPr="004B3D64"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  <w:t> (néoplasies, hémopathies lymphoïdes, maladies auto-immunes)</w:t>
      </w:r>
    </w:p>
    <w:p w14:paraId="43C567FA" w14:textId="2CEBB52B" w:rsidR="00B90EBB" w:rsidRPr="004B3D64" w:rsidRDefault="004B3D64" w:rsidP="004B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</w:pPr>
      <w:r w:rsidRPr="004B3D64">
        <w:rPr>
          <w:rFonts w:ascii="Times New Roman" w:eastAsia="MS Gothic" w:hAnsi="Times New Roman" w:cs="Times New Roman"/>
          <w:i/>
          <w:color w:val="548DD4" w:themeColor="text2" w:themeTint="99"/>
          <w:sz w:val="18"/>
          <w:szCs w:val="20"/>
        </w:rPr>
        <w:t xml:space="preserve">     - période du post-partum</w:t>
      </w:r>
    </w:p>
    <w:p w14:paraId="0732ABDA" w14:textId="77777777" w:rsid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sz w:val="20"/>
          <w:szCs w:val="20"/>
        </w:rPr>
      </w:pPr>
    </w:p>
    <w:p w14:paraId="3DF78F5B" w14:textId="77777777" w:rsidR="00B90EBB" w:rsidRDefault="00951A51" w:rsidP="00B9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 xml:space="preserve">- En cas de </w:t>
      </w:r>
      <w:r w:rsidR="00953461">
        <w:rPr>
          <w:rFonts w:ascii="Times New Roman" w:eastAsia="MS Gothic" w:hAnsi="Times New Roman" w:cs="Times New Roman"/>
          <w:sz w:val="20"/>
          <w:szCs w:val="20"/>
        </w:rPr>
        <w:t xml:space="preserve">facteur IX diminué (&lt; 40%) : rajout </w:t>
      </w:r>
    </w:p>
    <w:p w14:paraId="5D4362A2" w14:textId="12A5923F" w:rsid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sym w:font="Wingdings" w:char="F0E0"/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MS Gothic" w:hAnsi="Times New Roman" w:cs="Times New Roman"/>
          <w:sz w:val="20"/>
          <w:szCs w:val="20"/>
        </w:rPr>
        <w:t>des</w:t>
      </w:r>
      <w:proofErr w:type="gramEnd"/>
      <w:r>
        <w:rPr>
          <w:rFonts w:ascii="Times New Roman" w:eastAsia="MS Gothic" w:hAnsi="Times New Roman" w:cs="Times New Roman"/>
          <w:sz w:val="20"/>
          <w:szCs w:val="20"/>
        </w:rPr>
        <w:t xml:space="preserve"> autres facteurs vitamine K dépendants </w:t>
      </w:r>
      <w:r w:rsidRPr="00FB44EF">
        <w:rPr>
          <w:rFonts w:ascii="Times New Roman" w:eastAsia="MS Gothic" w:hAnsi="Times New Roman" w:cs="Times New Roman"/>
          <w:color w:val="FF0000"/>
          <w:sz w:val="20"/>
          <w:szCs w:val="20"/>
        </w:rPr>
        <w:t>s</w:t>
      </w:r>
      <w:r w:rsidR="004B3D64">
        <w:rPr>
          <w:rFonts w:ascii="Times New Roman" w:eastAsia="MS Gothic" w:hAnsi="Times New Roman" w:cs="Times New Roman"/>
          <w:color w:val="FF0000"/>
          <w:sz w:val="20"/>
          <w:szCs w:val="20"/>
        </w:rPr>
        <w:t>urtout si</w:t>
      </w:r>
      <w:r w:rsidRPr="00FB44EF">
        <w:rPr>
          <w:rFonts w:ascii="Times New Roman" w:eastAsia="MS Gothic" w:hAnsi="Times New Roman" w:cs="Times New Roman"/>
          <w:color w:val="FF0000"/>
          <w:sz w:val="20"/>
          <w:szCs w:val="20"/>
        </w:rPr>
        <w:t xml:space="preserve"> TP anormal</w:t>
      </w:r>
    </w:p>
    <w:p w14:paraId="7D2BD31D" w14:textId="1221226D" w:rsid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sym w:font="Wingdings" w:char="F0E0"/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MS Gothic" w:hAnsi="Times New Roman" w:cs="Times New Roman"/>
          <w:sz w:val="20"/>
          <w:szCs w:val="20"/>
        </w:rPr>
        <w:t>de</w:t>
      </w:r>
      <w:proofErr w:type="gramEnd"/>
      <w:r>
        <w:rPr>
          <w:rFonts w:ascii="Times New Roman" w:eastAsia="MS Gothic" w:hAnsi="Times New Roman" w:cs="Times New Roman"/>
          <w:sz w:val="20"/>
          <w:szCs w:val="20"/>
        </w:rPr>
        <w:t xml:space="preserve"> la recherche d’anticorps anti-facteur IX </w:t>
      </w:r>
      <w:r w:rsidRPr="00587CCC">
        <w:rPr>
          <w:rFonts w:ascii="Times New Roman" w:eastAsia="MS Gothic" w:hAnsi="Times New Roman" w:cs="Times New Roman"/>
          <w:sz w:val="16"/>
          <w:szCs w:val="20"/>
        </w:rPr>
        <w:t>(hémophilie B acquise)</w:t>
      </w:r>
      <w:r w:rsidR="004B3D64">
        <w:rPr>
          <w:rFonts w:ascii="Times New Roman" w:eastAsia="MS Gothic" w:hAnsi="Times New Roman" w:cs="Times New Roman"/>
          <w:sz w:val="16"/>
          <w:szCs w:val="20"/>
        </w:rPr>
        <w:t xml:space="preserve"> </w:t>
      </w:r>
      <w:r w:rsidR="004B3D64" w:rsidRPr="00271F94">
        <w:rPr>
          <w:rFonts w:ascii="Times New Roman" w:eastAsia="MS Gothic" w:hAnsi="Times New Roman" w:cs="Times New Roman"/>
          <w:color w:val="FF0000"/>
          <w:sz w:val="20"/>
          <w:szCs w:val="20"/>
        </w:rPr>
        <w:t>selon le contexte</w:t>
      </w:r>
      <w:r w:rsidR="004B3D64">
        <w:rPr>
          <w:rFonts w:ascii="Times New Roman" w:eastAsia="MS Gothic" w:hAnsi="Times New Roman" w:cs="Times New Roman"/>
          <w:color w:val="FF0000"/>
          <w:sz w:val="20"/>
          <w:szCs w:val="20"/>
        </w:rPr>
        <w:t xml:space="preserve"> clinique</w:t>
      </w:r>
    </w:p>
    <w:p w14:paraId="154EFFD1" w14:textId="77777777" w:rsidR="00953461" w:rsidRDefault="00953461" w:rsidP="0095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ascii="Times New Roman" w:eastAsia="MS Gothic" w:hAnsi="Times New Roman" w:cs="Times New Roman"/>
          <w:sz w:val="20"/>
          <w:szCs w:val="20"/>
        </w:rPr>
      </w:pPr>
    </w:p>
    <w:p w14:paraId="12B8A735" w14:textId="77777777" w:rsidR="00B90EBB" w:rsidRPr="00B90EBB" w:rsidRDefault="00B90EBB" w:rsidP="00B9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Gothic" w:hAnsi="Times New Roman" w:cs="Times New Roman"/>
          <w:b/>
          <w:sz w:val="20"/>
          <w:szCs w:val="20"/>
        </w:rPr>
      </w:pPr>
      <w:r w:rsidRPr="00B90EBB">
        <w:rPr>
          <w:rFonts w:ascii="Times New Roman" w:eastAsia="MS Gothic" w:hAnsi="Times New Roman" w:cs="Times New Roman"/>
          <w:b/>
          <w:sz w:val="20"/>
          <w:szCs w:val="20"/>
        </w:rPr>
        <w:t>Un appel au prescripteur est réalisé en cas de découverte d’un déficit en facteur pouvant engendrer un risque hémorragique.</w:t>
      </w:r>
    </w:p>
    <w:p w14:paraId="50F34B29" w14:textId="77777777" w:rsidR="00951A51" w:rsidRDefault="00951A51" w:rsidP="00BE2755">
      <w:pP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</w:p>
    <w:p w14:paraId="2097327F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 w:rsidRPr="00587CCC">
        <w:rPr>
          <w:rFonts w:ascii="Times New Roman" w:eastAsia="MS Gothic" w:hAnsi="Times New Roman" w:cs="Times New Roman"/>
          <w:i/>
          <w:sz w:val="20"/>
          <w:szCs w:val="20"/>
          <w:u w:val="single"/>
        </w:rPr>
        <w:t>EN CAS DE SUSPICION DE MALADIE DE WILLEBRAND</w:t>
      </w:r>
    </w:p>
    <w:p w14:paraId="6378FA5E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 w:rsidRPr="00587CCC">
        <w:rPr>
          <w:rFonts w:ascii="Times New Roman" w:eastAsia="MS Gothic" w:hAnsi="Times New Roman" w:cs="Times New Roman"/>
          <w:sz w:val="20"/>
          <w:szCs w:val="20"/>
        </w:rPr>
        <w:t>Syndrome hémorragique muqueux (épistaxis, gingivorragies, ménorragies...) et cutané (ecchymoses) ou devant une anomalie d’un test de l’hémostase primaire associé ou non à un TCA ou TCK allongé isolément.</w:t>
      </w:r>
    </w:p>
    <w:p w14:paraId="3329C5E3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b/>
          <w:sz w:val="20"/>
          <w:szCs w:val="20"/>
        </w:rPr>
      </w:pPr>
    </w:p>
    <w:p w14:paraId="649951DB" w14:textId="5C4FCAD3" w:rsidR="00587CCC" w:rsidRP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Gothic" w:hAnsi="Times New Roman" w:cs="Times New Roman"/>
          <w:b/>
          <w:sz w:val="20"/>
          <w:szCs w:val="20"/>
        </w:rPr>
      </w:pPr>
      <w:r w:rsidRPr="00587CCC">
        <w:rPr>
          <w:rFonts w:ascii="Times New Roman" w:eastAsia="MS Gothic" w:hAnsi="Times New Roman" w:cs="Times New Roman"/>
          <w:b/>
          <w:sz w:val="20"/>
          <w:szCs w:val="20"/>
        </w:rPr>
        <w:t>L</w:t>
      </w:r>
      <w:r w:rsidR="00C0712A">
        <w:rPr>
          <w:rFonts w:ascii="Times New Roman" w:eastAsia="MS Gothic" w:hAnsi="Times New Roman" w:cs="Times New Roman"/>
          <w:b/>
          <w:sz w:val="20"/>
          <w:szCs w:val="20"/>
        </w:rPr>
        <w:t>e groupe sanguin, l</w:t>
      </w:r>
      <w:r w:rsidRPr="00587CCC">
        <w:rPr>
          <w:rFonts w:ascii="Times New Roman" w:eastAsia="MS Gothic" w:hAnsi="Times New Roman" w:cs="Times New Roman"/>
          <w:b/>
          <w:sz w:val="20"/>
          <w:szCs w:val="20"/>
        </w:rPr>
        <w:t>a notion de grossesse en cours ou de prise d’</w:t>
      </w:r>
      <w:proofErr w:type="spellStart"/>
      <w:r w:rsidRPr="00587CCC">
        <w:rPr>
          <w:rFonts w:ascii="Times New Roman" w:eastAsia="MS Gothic" w:hAnsi="Times New Roman" w:cs="Times New Roman"/>
          <w:b/>
          <w:sz w:val="20"/>
          <w:szCs w:val="20"/>
        </w:rPr>
        <w:t>oestroprogestifs</w:t>
      </w:r>
      <w:proofErr w:type="spellEnd"/>
      <w:r w:rsidRPr="00587CCC">
        <w:rPr>
          <w:rFonts w:ascii="Times New Roman" w:eastAsia="MS Gothic" w:hAnsi="Times New Roman" w:cs="Times New Roman"/>
          <w:b/>
          <w:sz w:val="20"/>
          <w:szCs w:val="20"/>
        </w:rPr>
        <w:t xml:space="preserve"> </w:t>
      </w:r>
      <w:r w:rsidR="00873D48">
        <w:rPr>
          <w:rFonts w:ascii="Times New Roman" w:eastAsia="MS Gothic" w:hAnsi="Times New Roman" w:cs="Times New Roman"/>
          <w:b/>
          <w:sz w:val="20"/>
          <w:szCs w:val="20"/>
        </w:rPr>
        <w:t>sont des renseignements</w:t>
      </w:r>
      <w:r w:rsidRPr="00587CCC">
        <w:rPr>
          <w:rFonts w:ascii="Times New Roman" w:eastAsia="MS Gothic" w:hAnsi="Times New Roman" w:cs="Times New Roman"/>
          <w:b/>
          <w:sz w:val="20"/>
          <w:szCs w:val="20"/>
        </w:rPr>
        <w:t xml:space="preserve"> indispensable</w:t>
      </w:r>
      <w:r w:rsidR="00873D48">
        <w:rPr>
          <w:rFonts w:ascii="Times New Roman" w:eastAsia="MS Gothic" w:hAnsi="Times New Roman" w:cs="Times New Roman"/>
          <w:b/>
          <w:sz w:val="20"/>
          <w:szCs w:val="20"/>
        </w:rPr>
        <w:t>s</w:t>
      </w:r>
      <w:r w:rsidRPr="00587CCC">
        <w:rPr>
          <w:rFonts w:ascii="Times New Roman" w:eastAsia="MS Gothic" w:hAnsi="Times New Roman" w:cs="Times New Roman"/>
          <w:b/>
          <w:sz w:val="20"/>
          <w:szCs w:val="20"/>
        </w:rPr>
        <w:t xml:space="preserve"> pour l’interprétation des résultats.</w:t>
      </w:r>
    </w:p>
    <w:p w14:paraId="68E627D5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</w:p>
    <w:p w14:paraId="6092F815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>
        <w:rPr>
          <w:rFonts w:ascii="Times New Roman" w:eastAsia="MS Gothic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>Les examens à demander en plus des examens de base de base sont :</w:t>
      </w:r>
    </w:p>
    <w:p w14:paraId="01443871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 w:rsidRPr="00953461"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>- Facteur VIII</w:t>
      </w:r>
    </w:p>
    <w:p w14:paraId="3135EF5D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 xml:space="preserve">- Facteur </w:t>
      </w:r>
      <w:proofErr w:type="spellStart"/>
      <w:r>
        <w:rPr>
          <w:rFonts w:ascii="Times New Roman" w:eastAsia="MS Gothic" w:hAnsi="Times New Roman" w:cs="Times New Roman"/>
          <w:sz w:val="20"/>
          <w:szCs w:val="20"/>
        </w:rPr>
        <w:t>Willebrand</w:t>
      </w:r>
      <w:proofErr w:type="spellEnd"/>
      <w:r>
        <w:rPr>
          <w:rFonts w:ascii="Times New Roman" w:eastAsia="MS Gothic" w:hAnsi="Times New Roman" w:cs="Times New Roman"/>
          <w:sz w:val="20"/>
          <w:szCs w:val="20"/>
        </w:rPr>
        <w:t xml:space="preserve"> (antigène + activité)</w:t>
      </w:r>
    </w:p>
    <w:p w14:paraId="7D2C91FB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sz w:val="20"/>
          <w:szCs w:val="20"/>
        </w:rPr>
      </w:pPr>
    </w:p>
    <w:p w14:paraId="31E955AA" w14:textId="77777777" w:rsidR="00587CCC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  <w:r w:rsidRPr="00587CCC">
        <w:rPr>
          <w:rFonts w:ascii="Times New Roman" w:eastAsia="MS Gothic" w:hAnsi="Times New Roman" w:cs="Times New Roman"/>
          <w:sz w:val="20"/>
          <w:szCs w:val="20"/>
        </w:rPr>
        <w:t xml:space="preserve">      </w:t>
      </w:r>
      <w:r>
        <w:rPr>
          <w:rFonts w:ascii="Times New Roman" w:eastAsia="MS Gothic" w:hAnsi="Times New Roman" w:cs="Times New Roman"/>
          <w:i/>
          <w:sz w:val="20"/>
          <w:szCs w:val="20"/>
          <w:u w:val="single"/>
        </w:rPr>
        <w:t>Démarche du laboratoire en cas de résultat pathologique sans antériorité récente :</w:t>
      </w:r>
    </w:p>
    <w:p w14:paraId="5F882636" w14:textId="77777777" w:rsidR="00587CCC" w:rsidRPr="00B90EBB" w:rsidRDefault="00587CCC" w:rsidP="0058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Gothic" w:hAnsi="Times New Roman" w:cs="Times New Roman"/>
          <w:b/>
          <w:sz w:val="20"/>
          <w:szCs w:val="20"/>
        </w:rPr>
      </w:pPr>
      <w:r w:rsidRPr="00B90EBB">
        <w:rPr>
          <w:rFonts w:ascii="Times New Roman" w:eastAsia="MS Gothic" w:hAnsi="Times New Roman" w:cs="Times New Roman"/>
          <w:b/>
          <w:sz w:val="20"/>
          <w:szCs w:val="20"/>
        </w:rPr>
        <w:t>Un appel au prescripteur est réalisé en cas de découverte d’un déficit en facteur pouvant engendrer un risque hémorragique.</w:t>
      </w:r>
    </w:p>
    <w:p w14:paraId="052EBC17" w14:textId="77777777" w:rsidR="00BE2755" w:rsidRDefault="00BE2755" w:rsidP="00587CCC">
      <w:pPr>
        <w:rPr>
          <w:rFonts w:ascii="Times New Roman" w:eastAsia="MS Gothic" w:hAnsi="Times New Roman" w:cs="Times New Roman"/>
          <w:i/>
          <w:sz w:val="20"/>
          <w:szCs w:val="20"/>
          <w:u w:val="single"/>
        </w:rPr>
      </w:pPr>
    </w:p>
    <w:p w14:paraId="5134D459" w14:textId="379AC179" w:rsidR="003B1DA8" w:rsidRDefault="00A56E97" w:rsidP="003B1DA8">
      <w:pPr>
        <w:jc w:val="center"/>
        <w:rPr>
          <w:rFonts w:ascii="Times New Roman" w:eastAsia="MS Gothic" w:hAnsi="Times New Roman" w:cs="Times New Roman"/>
          <w:b/>
          <w:i/>
          <w:color w:val="FF0000"/>
          <w:sz w:val="20"/>
          <w:szCs w:val="20"/>
          <w:u w:val="single"/>
        </w:rPr>
      </w:pPr>
      <w:r w:rsidRPr="003B1DA8">
        <w:rPr>
          <w:rFonts w:ascii="Times New Roman" w:eastAsia="MS Gothic" w:hAnsi="Times New Roman" w:cs="Times New Roman"/>
          <w:b/>
          <w:i/>
          <w:sz w:val="20"/>
          <w:szCs w:val="20"/>
          <w:u w:val="single"/>
        </w:rPr>
        <w:t>La prescription de ces analyses peut être réalisée sur le bon de demande HEMOSTASE SPECIALISEE.</w:t>
      </w:r>
    </w:p>
    <w:p w14:paraId="40C8AB87" w14:textId="7FE0687B" w:rsidR="003B1DA8" w:rsidRPr="00A56E97" w:rsidRDefault="003B1DA8" w:rsidP="003B1DA8">
      <w:pPr>
        <w:jc w:val="center"/>
        <w:rPr>
          <w:rFonts w:ascii="Times New Roman" w:eastAsia="MS Gothic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MS Gothic" w:hAnsi="Times New Roman" w:cs="Times New Roman"/>
          <w:b/>
          <w:i/>
          <w:color w:val="FF0000"/>
          <w:sz w:val="20"/>
          <w:szCs w:val="20"/>
          <w:u w:val="single"/>
        </w:rPr>
        <w:t>En cas de demande de protocole hémostatique pour un patient, merci de bien vouloir remplir le formulaire du CHU de Poitiers (</w:t>
      </w:r>
      <w:proofErr w:type="spellStart"/>
      <w:r>
        <w:rPr>
          <w:rFonts w:ascii="Times New Roman" w:eastAsia="MS Gothic" w:hAnsi="Times New Roman" w:cs="Times New Roman"/>
          <w:b/>
          <w:i/>
          <w:color w:val="FF0000"/>
          <w:sz w:val="20"/>
          <w:szCs w:val="20"/>
          <w:u w:val="single"/>
        </w:rPr>
        <w:t>cf</w:t>
      </w:r>
      <w:proofErr w:type="spellEnd"/>
      <w:r>
        <w:rPr>
          <w:rFonts w:ascii="Times New Roman" w:eastAsia="MS Gothic" w:hAnsi="Times New Roman" w:cs="Times New Roman"/>
          <w:b/>
          <w:i/>
          <w:color w:val="FF0000"/>
          <w:sz w:val="20"/>
          <w:szCs w:val="20"/>
          <w:u w:val="single"/>
        </w:rPr>
        <w:t xml:space="preserve"> document joint).</w:t>
      </w:r>
    </w:p>
    <w:sectPr w:rsidR="003B1DA8" w:rsidRPr="00A56E97" w:rsidSect="00C16CA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1225" w14:textId="77777777" w:rsidR="00A300F5" w:rsidRDefault="00A300F5" w:rsidP="008C137F">
      <w:r>
        <w:separator/>
      </w:r>
    </w:p>
  </w:endnote>
  <w:endnote w:type="continuationSeparator" w:id="0">
    <w:p w14:paraId="0986C6F3" w14:textId="77777777" w:rsidR="00A300F5" w:rsidRDefault="00A300F5" w:rsidP="008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729E" w14:textId="77777777" w:rsidR="00A300F5" w:rsidRDefault="00A300F5" w:rsidP="008C137F">
      <w:r>
        <w:separator/>
      </w:r>
    </w:p>
  </w:footnote>
  <w:footnote w:type="continuationSeparator" w:id="0">
    <w:p w14:paraId="1DB69BDD" w14:textId="77777777" w:rsidR="00A300F5" w:rsidRDefault="00A300F5" w:rsidP="008C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5EF50" w14:textId="77777777" w:rsidR="008C137F" w:rsidRPr="008C137F" w:rsidRDefault="008C137F" w:rsidP="008C137F">
    <w:pPr>
      <w:pStyle w:val="En-tte"/>
      <w:jc w:val="center"/>
      <w:rPr>
        <w:rFonts w:ascii="Arial" w:hAnsi="Arial" w:cs="Arial"/>
      </w:rPr>
    </w:pPr>
    <w:r w:rsidRPr="008C137F">
      <w:rPr>
        <w:rFonts w:ascii="Arial" w:hAnsi="Arial" w:cs="Arial"/>
      </w:rPr>
      <w:t xml:space="preserve">Fiche de conseil à la prescription en hémostase n°3 : </w:t>
    </w:r>
  </w:p>
  <w:p w14:paraId="7F81F68A" w14:textId="16902FC9" w:rsidR="008C137F" w:rsidRPr="008C137F" w:rsidRDefault="008C137F" w:rsidP="008C137F">
    <w:pPr>
      <w:pStyle w:val="En-tte"/>
      <w:jc w:val="center"/>
      <w:rPr>
        <w:rFonts w:ascii="Arial" w:hAnsi="Arial" w:cs="Arial"/>
      </w:rPr>
    </w:pPr>
    <w:r w:rsidRPr="008C137F">
      <w:rPr>
        <w:rFonts w:ascii="Arial" w:hAnsi="Arial" w:cs="Arial"/>
      </w:rPr>
      <w:t>Exploration de l’hémostase en cas d’antécédents ou de découverte d’un syndrome hémorragique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808"/>
      </v:shape>
    </w:pict>
  </w:numPicBullet>
  <w:abstractNum w:abstractNumId="0" w15:restartNumberingAfterBreak="0">
    <w:nsid w:val="0FA3139C"/>
    <w:multiLevelType w:val="hybridMultilevel"/>
    <w:tmpl w:val="2C0AFD62"/>
    <w:lvl w:ilvl="0" w:tplc="CC883A5C">
      <w:start w:val="2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4E0929"/>
    <w:multiLevelType w:val="hybridMultilevel"/>
    <w:tmpl w:val="28CA5A44"/>
    <w:lvl w:ilvl="0" w:tplc="A39877B0">
      <w:start w:val="1"/>
      <w:numFmt w:val="bullet"/>
      <w:lvlText w:val="-"/>
      <w:lvlJc w:val="left"/>
      <w:pPr>
        <w:ind w:left="1068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3319F5"/>
    <w:multiLevelType w:val="hybridMultilevel"/>
    <w:tmpl w:val="499C6E5C"/>
    <w:lvl w:ilvl="0" w:tplc="72A0E476">
      <w:start w:val="1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7C0685"/>
    <w:multiLevelType w:val="hybridMultilevel"/>
    <w:tmpl w:val="81949AA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95A5A"/>
    <w:multiLevelType w:val="hybridMultilevel"/>
    <w:tmpl w:val="A630F1C6"/>
    <w:lvl w:ilvl="0" w:tplc="14403C2A">
      <w:start w:val="1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30513B"/>
    <w:multiLevelType w:val="hybridMultilevel"/>
    <w:tmpl w:val="B0066AD8"/>
    <w:lvl w:ilvl="0" w:tplc="9D0A3962">
      <w:start w:val="1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B40916"/>
    <w:multiLevelType w:val="hybridMultilevel"/>
    <w:tmpl w:val="7466F484"/>
    <w:lvl w:ilvl="0" w:tplc="5F605F74">
      <w:start w:val="1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F5A2F59"/>
    <w:multiLevelType w:val="hybridMultilevel"/>
    <w:tmpl w:val="0994B140"/>
    <w:lvl w:ilvl="0" w:tplc="966ADEFC">
      <w:start w:val="2"/>
      <w:numFmt w:val="bullet"/>
      <w:lvlText w:val=""/>
      <w:lvlJc w:val="left"/>
      <w:pPr>
        <w:ind w:left="1776" w:hanging="360"/>
      </w:pPr>
      <w:rPr>
        <w:rFonts w:ascii="Wingdings" w:eastAsia="MS Gothic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721995"/>
    <w:multiLevelType w:val="hybridMultilevel"/>
    <w:tmpl w:val="9EA6C81C"/>
    <w:lvl w:ilvl="0" w:tplc="EA14B6DC">
      <w:start w:val="1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93774E4"/>
    <w:multiLevelType w:val="hybridMultilevel"/>
    <w:tmpl w:val="38EACE82"/>
    <w:lvl w:ilvl="0" w:tplc="BAC49B8E">
      <w:start w:val="2"/>
      <w:numFmt w:val="bullet"/>
      <w:lvlText w:val=""/>
      <w:lvlJc w:val="left"/>
      <w:pPr>
        <w:ind w:left="1776" w:hanging="360"/>
      </w:pPr>
      <w:rPr>
        <w:rFonts w:ascii="Wingdings" w:eastAsia="MS Gothic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AEA6E1B"/>
    <w:multiLevelType w:val="hybridMultilevel"/>
    <w:tmpl w:val="84B470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2E27"/>
    <w:multiLevelType w:val="hybridMultilevel"/>
    <w:tmpl w:val="C3286C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70F9"/>
    <w:multiLevelType w:val="hybridMultilevel"/>
    <w:tmpl w:val="DD28D90A"/>
    <w:lvl w:ilvl="0" w:tplc="C89E109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6130"/>
    <w:multiLevelType w:val="hybridMultilevel"/>
    <w:tmpl w:val="0818C65A"/>
    <w:lvl w:ilvl="0" w:tplc="321CD0A0">
      <w:start w:val="1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F"/>
    <w:rsid w:val="00013385"/>
    <w:rsid w:val="000470FF"/>
    <w:rsid w:val="000D1454"/>
    <w:rsid w:val="000E2C69"/>
    <w:rsid w:val="00177267"/>
    <w:rsid w:val="001877BE"/>
    <w:rsid w:val="001A3F43"/>
    <w:rsid w:val="001B0809"/>
    <w:rsid w:val="001F544D"/>
    <w:rsid w:val="0026323F"/>
    <w:rsid w:val="00271F94"/>
    <w:rsid w:val="002D26F6"/>
    <w:rsid w:val="00301C87"/>
    <w:rsid w:val="003079E7"/>
    <w:rsid w:val="003553E0"/>
    <w:rsid w:val="003B1DA8"/>
    <w:rsid w:val="00466E8D"/>
    <w:rsid w:val="00495B33"/>
    <w:rsid w:val="004B0C94"/>
    <w:rsid w:val="004B3D64"/>
    <w:rsid w:val="00535902"/>
    <w:rsid w:val="00587CCC"/>
    <w:rsid w:val="005C1F07"/>
    <w:rsid w:val="00636AE8"/>
    <w:rsid w:val="0067140A"/>
    <w:rsid w:val="0071311E"/>
    <w:rsid w:val="007C09C4"/>
    <w:rsid w:val="007E4E64"/>
    <w:rsid w:val="0085667F"/>
    <w:rsid w:val="00873D48"/>
    <w:rsid w:val="008767F7"/>
    <w:rsid w:val="008B2976"/>
    <w:rsid w:val="008C137F"/>
    <w:rsid w:val="00916FDC"/>
    <w:rsid w:val="00947F0A"/>
    <w:rsid w:val="00951A51"/>
    <w:rsid w:val="00953461"/>
    <w:rsid w:val="0097609D"/>
    <w:rsid w:val="00A300F5"/>
    <w:rsid w:val="00A56E97"/>
    <w:rsid w:val="00A860FE"/>
    <w:rsid w:val="00AA6BA5"/>
    <w:rsid w:val="00B260C3"/>
    <w:rsid w:val="00B75CC3"/>
    <w:rsid w:val="00B90EBB"/>
    <w:rsid w:val="00BC6210"/>
    <w:rsid w:val="00BE2755"/>
    <w:rsid w:val="00C0712A"/>
    <w:rsid w:val="00C16CA8"/>
    <w:rsid w:val="00C2162C"/>
    <w:rsid w:val="00C97F54"/>
    <w:rsid w:val="00CA795E"/>
    <w:rsid w:val="00D121D9"/>
    <w:rsid w:val="00DA646D"/>
    <w:rsid w:val="00E97C60"/>
    <w:rsid w:val="00ED6503"/>
    <w:rsid w:val="00F31302"/>
    <w:rsid w:val="00F96671"/>
    <w:rsid w:val="00FB44EF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F47C3"/>
  <w14:defaultImageDpi w14:val="300"/>
  <w15:docId w15:val="{89FC82FB-F71C-4A17-BFE4-123DDFB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6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67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6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37F"/>
  </w:style>
  <w:style w:type="paragraph" w:styleId="Pieddepage">
    <w:name w:val="footer"/>
    <w:basedOn w:val="Normal"/>
    <w:link w:val="PieddepageCar"/>
    <w:uiPriority w:val="99"/>
    <w:unhideWhenUsed/>
    <w:rsid w:val="008C1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EFA818B-908A-46BA-8EBE-92411811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Hospitalier La Rochelle - Ré - Aunis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Baunin</dc:creator>
  <cp:lastModifiedBy>PITEAU Emilie</cp:lastModifiedBy>
  <cp:revision>2</cp:revision>
  <cp:lastPrinted>2022-03-03T14:16:00Z</cp:lastPrinted>
  <dcterms:created xsi:type="dcterms:W3CDTF">2023-05-30T16:44:00Z</dcterms:created>
  <dcterms:modified xsi:type="dcterms:W3CDTF">2023-05-30T16:44:00Z</dcterms:modified>
</cp:coreProperties>
</file>